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B0F" w:rsidRPr="00075B0C" w:rsidRDefault="00AF3B0F" w:rsidP="00AF3B0F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075B0C">
        <w:rPr>
          <w:rFonts w:ascii="Times New Roman" w:hAnsi="Times New Roman" w:cs="Times New Roman"/>
          <w:sz w:val="24"/>
          <w:szCs w:val="24"/>
          <w:lang w:val="kk-KZ"/>
        </w:rPr>
        <w:t>Учет расчетных отношений (дебиторской задолженности)</w:t>
      </w:r>
    </w:p>
    <w:p w:rsidR="00AF3B0F" w:rsidRPr="00075B0C" w:rsidRDefault="00AF3B0F" w:rsidP="00AF3B0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F3B0F" w:rsidRPr="00075B0C" w:rsidRDefault="00AF3B0F" w:rsidP="00AF3B0F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Дебиторская задолженность – (от латинского слова </w:t>
      </w:r>
      <w:proofErr w:type="spellStart"/>
      <w:r w:rsidRPr="00075B0C">
        <w:rPr>
          <w:rFonts w:ascii="Times New Roman" w:hAnsi="Times New Roman" w:cs="Times New Roman"/>
          <w:bCs/>
          <w:sz w:val="24"/>
          <w:szCs w:val="24"/>
          <w:lang w:val="en-US"/>
        </w:rPr>
        <w:t>debitum</w:t>
      </w:r>
      <w:proofErr w:type="spellEnd"/>
      <w:r w:rsidRPr="00075B0C">
        <w:rPr>
          <w:rFonts w:ascii="Times New Roman" w:hAnsi="Times New Roman" w:cs="Times New Roman"/>
          <w:bCs/>
          <w:sz w:val="24"/>
          <w:szCs w:val="24"/>
        </w:rPr>
        <w:t xml:space="preserve"> – долг, обязанность) – задолженность других лиц перед данной организацией, отражение которой в учете выражено как имущество организации, т.е. право на получение определенной денежной суммы с должника.</w:t>
      </w:r>
    </w:p>
    <w:p w:rsidR="00AF3B0F" w:rsidRPr="00075B0C" w:rsidRDefault="00AF3B0F" w:rsidP="00AF3B0F">
      <w:pPr>
        <w:tabs>
          <w:tab w:val="num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Дебиторская задолженность - средства других предприятий, временно используемые в обороте других предприятий</w:t>
      </w:r>
    </w:p>
    <w:p w:rsidR="00AF3B0F" w:rsidRPr="00075B0C" w:rsidRDefault="00AF3B0F" w:rsidP="00AF3B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Расчеты с покупателями и заказчиками</w:t>
      </w:r>
    </w:p>
    <w:p w:rsidR="00AF3B0F" w:rsidRPr="00075B0C" w:rsidRDefault="00AF3B0F" w:rsidP="00AF3B0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На счете 1210 «Расчеты с покупателями и заказчиками» учитывают расчеты по принятым к оплате расчетным документам за отгруженную продукцию, выполненные работы и оказанные услуги.</w:t>
      </w:r>
    </w:p>
    <w:p w:rsidR="00AF3B0F" w:rsidRPr="00075B0C" w:rsidRDefault="00AF3B0F" w:rsidP="00AF3B0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Данные расчеты представляют собой дебиторскую задолженность, включающую в себя суммы к получению, либо в течение одного отчетного периода (текущая дебиторская задолженность), либо в течени</w:t>
      </w:r>
      <w:proofErr w:type="gramStart"/>
      <w:r w:rsidRPr="00075B0C">
        <w:rPr>
          <w:rFonts w:ascii="Times New Roman" w:hAnsi="Times New Roman" w:cs="Times New Roman"/>
          <w:bCs/>
          <w:sz w:val="24"/>
          <w:szCs w:val="24"/>
        </w:rPr>
        <w:t>и</w:t>
      </w:r>
      <w:proofErr w:type="gramEnd"/>
      <w:r w:rsidRPr="00075B0C">
        <w:rPr>
          <w:rFonts w:ascii="Times New Roman" w:hAnsi="Times New Roman" w:cs="Times New Roman"/>
          <w:bCs/>
          <w:sz w:val="24"/>
          <w:szCs w:val="24"/>
        </w:rPr>
        <w:t xml:space="preserve"> нескольких периодов, следующих за отчетной датой (долгосрочная дебиторская задолженность)</w:t>
      </w:r>
    </w:p>
    <w:p w:rsidR="00AF3B0F" w:rsidRPr="00075B0C" w:rsidRDefault="00AF3B0F" w:rsidP="00AF3B0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По ДТ счета отражаются </w:t>
      </w:r>
      <w:proofErr w:type="gramStart"/>
      <w:r w:rsidRPr="00075B0C">
        <w:rPr>
          <w:rFonts w:ascii="Times New Roman" w:hAnsi="Times New Roman" w:cs="Times New Roman"/>
          <w:bCs/>
          <w:sz w:val="24"/>
          <w:szCs w:val="24"/>
        </w:rPr>
        <w:t>суммы</w:t>
      </w:r>
      <w:proofErr w:type="gramEnd"/>
      <w:r w:rsidRPr="00075B0C">
        <w:rPr>
          <w:rFonts w:ascii="Times New Roman" w:hAnsi="Times New Roman" w:cs="Times New Roman"/>
          <w:bCs/>
          <w:sz w:val="24"/>
          <w:szCs w:val="24"/>
        </w:rPr>
        <w:t xml:space="preserve"> выставленные по счетам-фактурам покупателям и заказчикам за поставленную продукцию, выполненные работы, оказанные услуги </w:t>
      </w:r>
    </w:p>
    <w:p w:rsidR="00AF3B0F" w:rsidRPr="00075B0C" w:rsidRDefault="00AF3B0F" w:rsidP="00AF3B0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Учет расчетов с подотчетными лицами </w:t>
      </w:r>
    </w:p>
    <w:p w:rsidR="00AF3B0F" w:rsidRPr="00075B0C" w:rsidRDefault="00AF3B0F" w:rsidP="00AF3B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  <w:u w:val="single"/>
        </w:rPr>
        <w:t>Подотчетные лица</w:t>
      </w:r>
      <w:r w:rsidRPr="00075B0C">
        <w:rPr>
          <w:rFonts w:ascii="Times New Roman" w:hAnsi="Times New Roman" w:cs="Times New Roman"/>
          <w:bCs/>
          <w:sz w:val="24"/>
          <w:szCs w:val="24"/>
        </w:rPr>
        <w:t xml:space="preserve"> – это работники предприятия, которым выданы денежные средства, материальные ценности в подотчет, за расходование и сохранность которых они несут материальную ответственность.</w:t>
      </w:r>
    </w:p>
    <w:p w:rsidR="00AF3B0F" w:rsidRPr="00075B0C" w:rsidRDefault="00AF3B0F" w:rsidP="00AF3B0F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Учет расчетов с подотчетными лицами ведется на счете 1250. Счет</w:t>
      </w:r>
    </w:p>
    <w:p w:rsidR="00AF3B0F" w:rsidRPr="00075B0C" w:rsidRDefault="00AF3B0F" w:rsidP="00AF3B0F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активный, основной, расчетный. Оборот по ДТ образование задолженности,</w:t>
      </w:r>
    </w:p>
    <w:p w:rsidR="00AF3B0F" w:rsidRPr="00075B0C" w:rsidRDefault="00AF3B0F" w:rsidP="00AF3B0F">
      <w:pPr>
        <w:jc w:val="both"/>
        <w:rPr>
          <w:rFonts w:ascii="Century Schoolbook" w:eastAsia="+mn-ea" w:hAnsi="Century Schoolbook" w:cs="+mn-cs"/>
          <w:bCs/>
          <w:color w:val="9A3D01"/>
          <w:kern w:val="24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Оборот по КТ списание задолженности, Остаток -  дебетовый</w:t>
      </w:r>
      <w:r w:rsidRPr="00075B0C">
        <w:rPr>
          <w:rFonts w:ascii="Century Schoolbook" w:eastAsia="+mn-ea" w:hAnsi="Century Schoolbook" w:cs="+mn-cs"/>
          <w:bCs/>
          <w:color w:val="9A3D01"/>
          <w:kern w:val="24"/>
          <w:sz w:val="24"/>
          <w:szCs w:val="24"/>
        </w:rPr>
        <w:t xml:space="preserve"> </w:t>
      </w:r>
    </w:p>
    <w:p w:rsidR="00AF3B0F" w:rsidRPr="00075B0C" w:rsidRDefault="00AF3B0F" w:rsidP="00AF3B0F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Учет расходов по командировкам</w:t>
      </w:r>
    </w:p>
    <w:p w:rsidR="00AF3B0F" w:rsidRPr="00075B0C" w:rsidRDefault="00AF3B0F" w:rsidP="00AF3B0F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Командировка – поездка работника в другую местность для выполнения</w:t>
      </w:r>
    </w:p>
    <w:p w:rsidR="00AF3B0F" w:rsidRPr="00075B0C" w:rsidRDefault="00AF3B0F" w:rsidP="00AF3B0F">
      <w:pPr>
        <w:rPr>
          <w:rFonts w:ascii="Times New Roman" w:hAnsi="Times New Roman" w:cs="Times New Roman"/>
          <w:bCs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служебных заданий</w:t>
      </w:r>
    </w:p>
    <w:p w:rsidR="00AF3B0F" w:rsidRPr="00075B0C" w:rsidRDefault="00AF3B0F" w:rsidP="00AF3B0F">
      <w:pPr>
        <w:rPr>
          <w:rFonts w:ascii="Times New Roman" w:hAnsi="Times New Roman" w:cs="Times New Roman"/>
          <w:bCs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Командировочные расходы являются компенсационными выплатами.</w:t>
      </w:r>
    </w:p>
    <w:tbl>
      <w:tblPr>
        <w:tblW w:w="10067" w:type="dxa"/>
        <w:tblCellMar>
          <w:left w:w="0" w:type="dxa"/>
          <w:right w:w="0" w:type="dxa"/>
        </w:tblCellMar>
        <w:tblLook w:val="04A0"/>
      </w:tblPr>
      <w:tblGrid>
        <w:gridCol w:w="4539"/>
        <w:gridCol w:w="5528"/>
      </w:tblGrid>
      <w:tr w:rsidR="00AF3B0F" w:rsidRPr="00075B0C" w:rsidTr="00BD377C">
        <w:trPr>
          <w:trHeight w:val="239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F3B0F" w:rsidRPr="00075B0C" w:rsidRDefault="00AF3B0F" w:rsidP="00BD377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75B0C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 xml:space="preserve">Расходы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F3B0F" w:rsidRPr="00075B0C" w:rsidRDefault="00AF3B0F" w:rsidP="00BD377C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75B0C">
              <w:rPr>
                <w:rFonts w:ascii="Century Schoolbook" w:eastAsia="Times New Roman" w:hAnsi="Century Schoolbook" w:cs="Arial"/>
                <w:bCs/>
                <w:kern w:val="24"/>
                <w:sz w:val="24"/>
                <w:szCs w:val="24"/>
                <w:lang w:eastAsia="ru-RU"/>
              </w:rPr>
              <w:t xml:space="preserve">Документы </w:t>
            </w:r>
          </w:p>
        </w:tc>
      </w:tr>
      <w:tr w:rsidR="00AF3B0F" w:rsidRPr="00075B0C" w:rsidTr="00BD377C">
        <w:trPr>
          <w:trHeight w:val="68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F3B0F" w:rsidRPr="00075B0C" w:rsidRDefault="00AF3B0F" w:rsidP="00BD377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75B0C">
              <w:rPr>
                <w:rFonts w:ascii="Century Schoolbook" w:eastAsia="Times New Roman" w:hAnsi="Century Schoolbook" w:cs="Arial"/>
                <w:bCs/>
                <w:kern w:val="24"/>
                <w:sz w:val="24"/>
                <w:szCs w:val="24"/>
                <w:lang w:eastAsia="ru-RU"/>
              </w:rPr>
              <w:t xml:space="preserve">Транспортные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F3B0F" w:rsidRPr="00075B0C" w:rsidRDefault="00AF3B0F" w:rsidP="00BD377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75B0C">
              <w:rPr>
                <w:rFonts w:ascii="Century Schoolbook" w:eastAsia="Times New Roman" w:hAnsi="Century Schoolbook" w:cs="Arial"/>
                <w:bCs/>
                <w:kern w:val="24"/>
                <w:sz w:val="24"/>
                <w:szCs w:val="24"/>
                <w:lang w:eastAsia="ru-RU"/>
              </w:rPr>
              <w:t>Проездные документы</w:t>
            </w:r>
            <w:proofErr w:type="gramStart"/>
            <w:r w:rsidRPr="00075B0C">
              <w:rPr>
                <w:rFonts w:ascii="Century Schoolbook" w:eastAsia="Times New Roman" w:hAnsi="Century Schoolbook" w:cs="Arial"/>
                <w:bCs/>
                <w:kern w:val="24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5B0C">
              <w:rPr>
                <w:rFonts w:ascii="Century Schoolbook" w:eastAsia="Times New Roman" w:hAnsi="Century Schoolbook" w:cs="Arial"/>
                <w:bCs/>
                <w:kern w:val="24"/>
                <w:sz w:val="24"/>
                <w:szCs w:val="24"/>
                <w:lang w:eastAsia="ru-RU"/>
              </w:rPr>
              <w:t xml:space="preserve"> авто; ж/</w:t>
            </w:r>
            <w:proofErr w:type="spellStart"/>
            <w:r w:rsidRPr="00075B0C">
              <w:rPr>
                <w:rFonts w:ascii="Century Schoolbook" w:eastAsia="Times New Roman" w:hAnsi="Century Schoolbook" w:cs="Arial"/>
                <w:bCs/>
                <w:kern w:val="24"/>
                <w:sz w:val="24"/>
                <w:szCs w:val="24"/>
                <w:lang w:eastAsia="ru-RU"/>
              </w:rPr>
              <w:t>д</w:t>
            </w:r>
            <w:proofErr w:type="spellEnd"/>
            <w:r w:rsidRPr="00075B0C">
              <w:rPr>
                <w:rFonts w:ascii="Century Schoolbook" w:eastAsia="Times New Roman" w:hAnsi="Century Schoolbook" w:cs="Arial"/>
                <w:bCs/>
                <w:kern w:val="24"/>
                <w:sz w:val="24"/>
                <w:szCs w:val="24"/>
                <w:lang w:eastAsia="ru-RU"/>
              </w:rPr>
              <w:t xml:space="preserve">, авиабилеты </w:t>
            </w:r>
          </w:p>
        </w:tc>
      </w:tr>
      <w:tr w:rsidR="00AF3B0F" w:rsidRPr="00075B0C" w:rsidTr="00BD377C">
        <w:trPr>
          <w:trHeight w:val="66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F3B0F" w:rsidRPr="00075B0C" w:rsidRDefault="00AF3B0F" w:rsidP="00BD377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75B0C">
              <w:rPr>
                <w:rFonts w:ascii="Century Schoolbook" w:eastAsia="Times New Roman" w:hAnsi="Century Schoolbook" w:cs="Arial"/>
                <w:bCs/>
                <w:kern w:val="24"/>
                <w:sz w:val="24"/>
                <w:szCs w:val="24"/>
                <w:lang w:eastAsia="ru-RU"/>
              </w:rPr>
              <w:t xml:space="preserve">Суточные (до 6 МРП   </w:t>
            </w:r>
            <w:proofErr w:type="spellStart"/>
            <w:proofErr w:type="gramStart"/>
            <w:r w:rsidRPr="00075B0C">
              <w:rPr>
                <w:rFonts w:ascii="Century Schoolbook" w:eastAsia="Times New Roman" w:hAnsi="Century Schoolbook" w:cs="Arial"/>
                <w:bCs/>
                <w:kern w:val="24"/>
                <w:sz w:val="24"/>
                <w:szCs w:val="24"/>
                <w:lang w:eastAsia="ru-RU"/>
              </w:rPr>
              <w:t>загран</w:t>
            </w:r>
            <w:proofErr w:type="spellEnd"/>
            <w:r w:rsidRPr="00075B0C">
              <w:rPr>
                <w:rFonts w:ascii="Century Schoolbook" w:eastAsia="Times New Roman" w:hAnsi="Century Schoolbook" w:cs="Arial"/>
                <w:bCs/>
                <w:kern w:val="24"/>
                <w:sz w:val="24"/>
                <w:szCs w:val="24"/>
                <w:lang w:eastAsia="ru-RU"/>
              </w:rPr>
              <w:t>. командировка</w:t>
            </w:r>
            <w:proofErr w:type="gramEnd"/>
            <w:r w:rsidRPr="00075B0C">
              <w:rPr>
                <w:rFonts w:ascii="Century Schoolbook" w:eastAsia="Times New Roman" w:hAnsi="Century Schoolbook" w:cs="Arial"/>
                <w:bCs/>
                <w:kern w:val="24"/>
                <w:sz w:val="24"/>
                <w:szCs w:val="24"/>
                <w:lang w:eastAsia="ru-RU"/>
              </w:rPr>
              <w:t xml:space="preserve">    до 8 МРП)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F3B0F" w:rsidRPr="00075B0C" w:rsidRDefault="00AF3B0F" w:rsidP="00BD377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75B0C">
              <w:rPr>
                <w:rFonts w:ascii="Century Schoolbook" w:eastAsia="Times New Roman" w:hAnsi="Century Schoolbook" w:cs="Arial"/>
                <w:bCs/>
                <w:kern w:val="24"/>
                <w:sz w:val="24"/>
                <w:szCs w:val="24"/>
                <w:lang w:eastAsia="ru-RU"/>
              </w:rPr>
              <w:t xml:space="preserve">Командировочное удостоверение с отметками </w:t>
            </w:r>
          </w:p>
        </w:tc>
      </w:tr>
      <w:tr w:rsidR="00AF3B0F" w:rsidRPr="00075B0C" w:rsidTr="00BD377C">
        <w:trPr>
          <w:trHeight w:val="64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F3B0F" w:rsidRPr="00075B0C" w:rsidRDefault="00AF3B0F" w:rsidP="00BD377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75B0C">
              <w:rPr>
                <w:rFonts w:ascii="Century Schoolbook" w:eastAsia="Times New Roman" w:hAnsi="Century Schoolbook" w:cs="Arial"/>
                <w:bCs/>
                <w:kern w:val="24"/>
                <w:sz w:val="24"/>
                <w:szCs w:val="24"/>
                <w:lang w:eastAsia="ru-RU"/>
              </w:rPr>
              <w:t xml:space="preserve">Расходы по найму жилого помещения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F3B0F" w:rsidRPr="00075B0C" w:rsidRDefault="00AF3B0F" w:rsidP="00BD377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75B0C">
              <w:rPr>
                <w:rFonts w:ascii="Century Schoolbook" w:eastAsia="Times New Roman" w:hAnsi="Century Schoolbook" w:cs="Arial"/>
                <w:bCs/>
                <w:kern w:val="24"/>
                <w:sz w:val="24"/>
                <w:szCs w:val="24"/>
                <w:lang w:eastAsia="ru-RU"/>
              </w:rPr>
              <w:t xml:space="preserve">Квитанции гостиницы, справка с ПКСК </w:t>
            </w:r>
          </w:p>
        </w:tc>
      </w:tr>
    </w:tbl>
    <w:p w:rsidR="00AF3B0F" w:rsidRPr="00075B0C" w:rsidRDefault="00AF3B0F" w:rsidP="00AF3B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F3B0F" w:rsidRPr="00075B0C" w:rsidRDefault="00AF3B0F" w:rsidP="00AF3B0F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При начислении суточных день приезда – день отъезда считается за один день.</w:t>
      </w:r>
    </w:p>
    <w:p w:rsidR="00AF3B0F" w:rsidRPr="00075B0C" w:rsidRDefault="00AF3B0F" w:rsidP="00AF3B0F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По возвращении из командировки, либо по использованию средств подотчетное лицо обязано сдать неиспользованные суммы аванса в кассу и </w:t>
      </w:r>
      <w:proofErr w:type="gramStart"/>
      <w:r w:rsidRPr="00075B0C">
        <w:rPr>
          <w:rFonts w:ascii="Times New Roman" w:hAnsi="Times New Roman" w:cs="Times New Roman"/>
          <w:bCs/>
          <w:sz w:val="24"/>
          <w:szCs w:val="24"/>
        </w:rPr>
        <w:t>предоставить авансовый отчет</w:t>
      </w:r>
      <w:proofErr w:type="gramEnd"/>
      <w:r w:rsidRPr="00075B0C">
        <w:rPr>
          <w:rFonts w:ascii="Times New Roman" w:hAnsi="Times New Roman" w:cs="Times New Roman"/>
          <w:bCs/>
          <w:sz w:val="24"/>
          <w:szCs w:val="24"/>
        </w:rPr>
        <w:t xml:space="preserve"> с приложенными оправдательными документами, который проверяется бухгалтерией и утверждается руководителем </w:t>
      </w:r>
    </w:p>
    <w:p w:rsidR="00AF3B0F" w:rsidRPr="00075B0C" w:rsidRDefault="00AF3B0F" w:rsidP="00AF3B0F">
      <w:pPr>
        <w:jc w:val="center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Учет представительских расходов</w:t>
      </w:r>
    </w:p>
    <w:p w:rsidR="00AF3B0F" w:rsidRPr="00075B0C" w:rsidRDefault="00AF3B0F" w:rsidP="00AF3B0F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Представительскими расходами являются расходы, связанные с организацией семинаров, конференций, форумов, подписанием контрактов, приемом делегаций и т.д.</w:t>
      </w:r>
    </w:p>
    <w:p w:rsidR="00AF3B0F" w:rsidRPr="00075B0C" w:rsidRDefault="00AF3B0F" w:rsidP="00AF3B0F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Документальное оформление:</w:t>
      </w:r>
    </w:p>
    <w:p w:rsidR="00AF3B0F" w:rsidRPr="00075B0C" w:rsidRDefault="00AF3B0F" w:rsidP="00AF3B0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 Приказ  о проведении мероприятия</w:t>
      </w:r>
    </w:p>
    <w:p w:rsidR="00AF3B0F" w:rsidRPr="00075B0C" w:rsidRDefault="00AF3B0F" w:rsidP="00AF3B0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Программа пребывания (проведения)</w:t>
      </w:r>
    </w:p>
    <w:p w:rsidR="00AF3B0F" w:rsidRPr="00075B0C" w:rsidRDefault="00AF3B0F" w:rsidP="00AF3B0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Смета расходов</w:t>
      </w:r>
    </w:p>
    <w:p w:rsidR="00AF3B0F" w:rsidRPr="00075B0C" w:rsidRDefault="00AF3B0F" w:rsidP="00AF3B0F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lastRenderedPageBreak/>
        <w:t>После утверждения сметы подотчетному лицу выдается денежная сумма  для проведения мероприятия, по окончании которого он обязан сдать в бухгалтерию авансовый отчет с оправдательными документами (чеки, квитанции и т.д.)</w:t>
      </w:r>
    </w:p>
    <w:p w:rsidR="00AF3B0F" w:rsidRPr="00075B0C" w:rsidRDefault="00AF3B0F" w:rsidP="00AF3B0F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На основании авансового отчета составляется Акт об исполнении сметы затрат, который утверждается руководителем</w:t>
      </w:r>
      <w:r w:rsidRPr="00075B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3B0F" w:rsidRPr="00075B0C" w:rsidRDefault="00AF3B0F" w:rsidP="00AF3B0F">
      <w:pPr>
        <w:jc w:val="center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Учет резервов по сомнительным долгам</w:t>
      </w:r>
    </w:p>
    <w:p w:rsidR="00AF3B0F" w:rsidRPr="00075B0C" w:rsidRDefault="00AF3B0F" w:rsidP="00AF3B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Сомнительная дебиторская задолженность это - суммы безнадежных долгов предприятия, которые не были погашены в течени</w:t>
      </w:r>
      <w:proofErr w:type="gramStart"/>
      <w:r w:rsidRPr="00075B0C">
        <w:rPr>
          <w:rFonts w:ascii="Times New Roman" w:hAnsi="Times New Roman" w:cs="Times New Roman"/>
          <w:bCs/>
          <w:sz w:val="24"/>
          <w:szCs w:val="24"/>
        </w:rPr>
        <w:t>и</w:t>
      </w:r>
      <w:proofErr w:type="gramEnd"/>
      <w:r w:rsidRPr="00075B0C">
        <w:rPr>
          <w:rFonts w:ascii="Times New Roman" w:hAnsi="Times New Roman" w:cs="Times New Roman"/>
          <w:bCs/>
          <w:sz w:val="24"/>
          <w:szCs w:val="24"/>
        </w:rPr>
        <w:t xml:space="preserve"> срока более 3 лет</w:t>
      </w:r>
    </w:p>
    <w:p w:rsidR="00AF3B0F" w:rsidRPr="00075B0C" w:rsidRDefault="00AF3B0F" w:rsidP="00AF3B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Резерв по сомнительным долгам отражается в активе баланса. Учитывается на счете 1290. Счет пассивный основной, расчетный, инвентарный</w:t>
      </w:r>
    </w:p>
    <w:p w:rsidR="00AF3B0F" w:rsidRPr="00075B0C" w:rsidRDefault="00AF3B0F" w:rsidP="00AF3B0F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Оборот по КТ образование резерва. Оборот по ДТ списание долга. Остаток - КТ</w:t>
      </w:r>
    </w:p>
    <w:p w:rsidR="00AF3B0F" w:rsidRPr="00075B0C" w:rsidRDefault="00AF3B0F" w:rsidP="00AF3B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Методы создания резерва: </w:t>
      </w:r>
    </w:p>
    <w:p w:rsidR="00AF3B0F" w:rsidRPr="00075B0C" w:rsidRDefault="00AF3B0F" w:rsidP="00AF3B0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Процент от годового объема реализации </w:t>
      </w:r>
    </w:p>
    <w:p w:rsidR="00AF3B0F" w:rsidRPr="00075B0C" w:rsidRDefault="00AF3B0F" w:rsidP="00AF3B0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По срокам оплаты счетов.</w:t>
      </w:r>
    </w:p>
    <w:p w:rsidR="00AF3B0F" w:rsidRPr="00075B0C" w:rsidRDefault="00AF3B0F" w:rsidP="00AF3B0F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Аналитический учет данного резерва ведется в ведомости по каждому сомнительному долгу. По истечении 3-х лет сомнительный долг списывается на </w:t>
      </w:r>
      <w:proofErr w:type="spellStart"/>
      <w:r w:rsidRPr="00075B0C">
        <w:rPr>
          <w:rFonts w:ascii="Times New Roman" w:hAnsi="Times New Roman" w:cs="Times New Roman"/>
          <w:bCs/>
          <w:sz w:val="24"/>
          <w:szCs w:val="24"/>
        </w:rPr>
        <w:t>забалансовый</w:t>
      </w:r>
      <w:proofErr w:type="spellEnd"/>
      <w:r w:rsidRPr="00075B0C">
        <w:rPr>
          <w:rFonts w:ascii="Times New Roman" w:hAnsi="Times New Roman" w:cs="Times New Roman"/>
          <w:bCs/>
          <w:sz w:val="24"/>
          <w:szCs w:val="24"/>
        </w:rPr>
        <w:t xml:space="preserve"> счет 007 </w:t>
      </w:r>
    </w:p>
    <w:p w:rsidR="00AF3B0F" w:rsidRPr="00075B0C" w:rsidRDefault="00AF3B0F" w:rsidP="00AF3B0F">
      <w:pPr>
        <w:jc w:val="center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Учет авансов выданных</w:t>
      </w:r>
    </w:p>
    <w:p w:rsidR="00AF3B0F" w:rsidRPr="00075B0C" w:rsidRDefault="00AF3B0F" w:rsidP="00AF3B0F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Авансы </w:t>
      </w:r>
      <w:proofErr w:type="spellStart"/>
      <w:r w:rsidRPr="00075B0C">
        <w:rPr>
          <w:rFonts w:ascii="Times New Roman" w:hAnsi="Times New Roman" w:cs="Times New Roman"/>
          <w:bCs/>
          <w:sz w:val="24"/>
          <w:szCs w:val="24"/>
        </w:rPr>
        <w:t>ваданные</w:t>
      </w:r>
      <w:proofErr w:type="spellEnd"/>
      <w:r w:rsidRPr="00075B0C">
        <w:rPr>
          <w:rFonts w:ascii="Times New Roman" w:hAnsi="Times New Roman" w:cs="Times New Roman"/>
          <w:bCs/>
          <w:sz w:val="24"/>
          <w:szCs w:val="24"/>
        </w:rPr>
        <w:t xml:space="preserve"> учитываются на счете 1</w:t>
      </w:r>
      <w:r>
        <w:rPr>
          <w:rFonts w:ascii="Times New Roman" w:hAnsi="Times New Roman" w:cs="Times New Roman"/>
          <w:bCs/>
          <w:sz w:val="24"/>
          <w:szCs w:val="24"/>
        </w:rPr>
        <w:t>7</w:t>
      </w:r>
      <w:r w:rsidRPr="00075B0C">
        <w:rPr>
          <w:rFonts w:ascii="Times New Roman" w:hAnsi="Times New Roman" w:cs="Times New Roman"/>
          <w:bCs/>
          <w:sz w:val="24"/>
          <w:szCs w:val="24"/>
        </w:rPr>
        <w:t>10. На данном счете отражается информация о выданных авансах под поставку ТМЦ, выполненных работах и оказанных услугах</w:t>
      </w:r>
      <w:r w:rsidRPr="00075B0C">
        <w:rPr>
          <w:rFonts w:ascii="Times New Roman" w:hAnsi="Times New Roman" w:cs="Times New Roman"/>
          <w:sz w:val="24"/>
          <w:szCs w:val="24"/>
        </w:rPr>
        <w:t>.</w:t>
      </w:r>
    </w:p>
    <w:p w:rsidR="00AF3B0F" w:rsidRPr="00075B0C" w:rsidRDefault="00AF3B0F" w:rsidP="00AF3B0F">
      <w:pPr>
        <w:jc w:val="center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Учет расходов будущих периодов</w:t>
      </w:r>
    </w:p>
    <w:p w:rsidR="00AF3B0F" w:rsidRPr="00075B0C" w:rsidRDefault="00AF3B0F" w:rsidP="00AF3B0F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 К расходам будущих периодов относятся следующие виды:</w:t>
      </w:r>
    </w:p>
    <w:p w:rsidR="00AF3B0F" w:rsidRPr="00075B0C" w:rsidRDefault="00AF3B0F" w:rsidP="00AF3B0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 на освоение новых видов продукции и производств</w:t>
      </w:r>
    </w:p>
    <w:p w:rsidR="00AF3B0F" w:rsidRPr="00075B0C" w:rsidRDefault="00AF3B0F" w:rsidP="00AF3B0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Рекультивацию земель</w:t>
      </w:r>
    </w:p>
    <w:p w:rsidR="00AF3B0F" w:rsidRPr="00075B0C" w:rsidRDefault="00AF3B0F" w:rsidP="00AF3B0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 xml:space="preserve">Страховые платежи, уплаченные за несколько периодов </w:t>
      </w:r>
    </w:p>
    <w:p w:rsidR="00AF3B0F" w:rsidRPr="00075B0C" w:rsidRDefault="00AF3B0F" w:rsidP="00AF3B0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Арендная плата, уплаченная за несколько периодов</w:t>
      </w:r>
    </w:p>
    <w:p w:rsidR="00AF3B0F" w:rsidRPr="00075B0C" w:rsidRDefault="00AF3B0F" w:rsidP="00AF3B0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Подписка на периодическую печать и т.д.</w:t>
      </w:r>
    </w:p>
    <w:p w:rsidR="00AF3B0F" w:rsidRPr="00075B0C" w:rsidRDefault="00AF3B0F" w:rsidP="00AF3B0F">
      <w:pPr>
        <w:jc w:val="both"/>
        <w:rPr>
          <w:rFonts w:ascii="Times New Roman" w:hAnsi="Times New Roman" w:cs="Times New Roman"/>
          <w:sz w:val="24"/>
          <w:szCs w:val="24"/>
        </w:rPr>
      </w:pPr>
      <w:r w:rsidRPr="00075B0C">
        <w:rPr>
          <w:rFonts w:ascii="Times New Roman" w:hAnsi="Times New Roman" w:cs="Times New Roman"/>
          <w:bCs/>
          <w:sz w:val="24"/>
          <w:szCs w:val="24"/>
        </w:rPr>
        <w:t>Данные расходы ведутся на счете 1</w:t>
      </w:r>
      <w:r>
        <w:rPr>
          <w:rFonts w:ascii="Times New Roman" w:hAnsi="Times New Roman" w:cs="Times New Roman"/>
          <w:bCs/>
          <w:sz w:val="24"/>
          <w:szCs w:val="24"/>
        </w:rPr>
        <w:t>7</w:t>
      </w:r>
      <w:r w:rsidRPr="00075B0C">
        <w:rPr>
          <w:rFonts w:ascii="Times New Roman" w:hAnsi="Times New Roman" w:cs="Times New Roman"/>
          <w:bCs/>
          <w:sz w:val="24"/>
          <w:szCs w:val="24"/>
        </w:rPr>
        <w:t>20, особенность которого состоит в том, что при наступлении расчетного периода часть расходов будущих периодов списывается на текущие расходы, таким образом, по окончании отчетного периода счет 1</w:t>
      </w:r>
      <w:r>
        <w:rPr>
          <w:rFonts w:ascii="Times New Roman" w:hAnsi="Times New Roman" w:cs="Times New Roman"/>
          <w:bCs/>
          <w:sz w:val="24"/>
          <w:szCs w:val="24"/>
        </w:rPr>
        <w:t>7</w:t>
      </w:r>
      <w:r w:rsidRPr="00075B0C">
        <w:rPr>
          <w:rFonts w:ascii="Times New Roman" w:hAnsi="Times New Roman" w:cs="Times New Roman"/>
          <w:bCs/>
          <w:sz w:val="24"/>
          <w:szCs w:val="24"/>
        </w:rPr>
        <w:t>20 полностью закрывается</w:t>
      </w:r>
    </w:p>
    <w:p w:rsidR="000E5821" w:rsidRPr="00AF3B0F" w:rsidRDefault="000E5821">
      <w:pPr>
        <w:rPr>
          <w:rFonts w:ascii="Times New Roman" w:hAnsi="Times New Roman" w:cs="Times New Roman"/>
          <w:sz w:val="28"/>
          <w:szCs w:val="28"/>
        </w:rPr>
      </w:pPr>
    </w:p>
    <w:sectPr w:rsidR="000E5821" w:rsidRPr="00AF3B0F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33193"/>
    <w:multiLevelType w:val="hybridMultilevel"/>
    <w:tmpl w:val="0904563A"/>
    <w:lvl w:ilvl="0" w:tplc="B09AA7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7E951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B886F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52716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2874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B8F6D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1E45B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02D26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C28BE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F8574B"/>
    <w:multiLevelType w:val="hybridMultilevel"/>
    <w:tmpl w:val="5A060ABE"/>
    <w:lvl w:ilvl="0" w:tplc="B09AA7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4EA97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542BF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44812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423ED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DE6AA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D8A90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86AC3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8639C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226F7B"/>
    <w:multiLevelType w:val="hybridMultilevel"/>
    <w:tmpl w:val="30905B38"/>
    <w:lvl w:ilvl="0" w:tplc="B09AA7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AACE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B866C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0067B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FCA4B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72151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F81AC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E0674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1CA22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F3B0F"/>
    <w:rsid w:val="000E5821"/>
    <w:rsid w:val="00190430"/>
    <w:rsid w:val="00543310"/>
    <w:rsid w:val="00587D84"/>
    <w:rsid w:val="00AF3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3B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636</Words>
  <Characters>3628</Characters>
  <Application>Microsoft Office Word</Application>
  <DocSecurity>0</DocSecurity>
  <Lines>30</Lines>
  <Paragraphs>8</Paragraphs>
  <ScaleCrop>false</ScaleCrop>
  <Company/>
  <LinksUpToDate>false</LinksUpToDate>
  <CharactersWithSpaces>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2021-02-07T22:23:00Z</dcterms:created>
  <dcterms:modified xsi:type="dcterms:W3CDTF">2021-02-07T22:24:00Z</dcterms:modified>
</cp:coreProperties>
</file>